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2D3C" w14:textId="77777777" w:rsidR="00AC3607" w:rsidRDefault="00577B13" w:rsidP="00004305">
      <w:pPr>
        <w:pStyle w:val="Title"/>
        <w:spacing w:before="200" w:line="240" w:lineRule="auto"/>
        <w:rPr>
          <w:rFonts w:asciiTheme="majorHAnsi" w:hAnsiTheme="majorHAnsi"/>
          <w:color w:val="000000" w:themeColor="text1"/>
          <w:sz w:val="40"/>
        </w:rPr>
      </w:pPr>
      <w:r w:rsidRPr="00004305">
        <w:rPr>
          <w:rFonts w:asciiTheme="majorHAnsi" w:hAnsiTheme="majorHAnsi"/>
          <w:color w:val="000000" w:themeColor="text1"/>
          <w:sz w:val="40"/>
        </w:rPr>
        <w:t>Easement P</w:t>
      </w:r>
      <w:r w:rsidR="00AC3607" w:rsidRPr="00004305">
        <w:rPr>
          <w:rFonts w:asciiTheme="majorHAnsi" w:hAnsiTheme="majorHAnsi"/>
          <w:color w:val="000000" w:themeColor="text1"/>
          <w:sz w:val="40"/>
        </w:rPr>
        <w:t>rocess</w:t>
      </w:r>
      <w:r w:rsidRPr="00004305">
        <w:rPr>
          <w:rFonts w:asciiTheme="majorHAnsi" w:hAnsiTheme="majorHAnsi"/>
          <w:color w:val="000000" w:themeColor="text1"/>
          <w:sz w:val="40"/>
        </w:rPr>
        <w:t xml:space="preserve"> for Potential Forest Owners</w:t>
      </w:r>
    </w:p>
    <w:p w14:paraId="243EC794" w14:textId="3E40FAB5" w:rsidR="00C74673" w:rsidRPr="00C74673" w:rsidRDefault="00C74673" w:rsidP="00C74673">
      <w:pPr>
        <w:jc w:val="center"/>
        <w:rPr>
          <w:b/>
          <w:sz w:val="24"/>
          <w:szCs w:val="24"/>
        </w:rPr>
      </w:pPr>
      <w:r w:rsidRPr="00C74673">
        <w:rPr>
          <w:b/>
          <w:sz w:val="24"/>
          <w:szCs w:val="24"/>
        </w:rPr>
        <w:t xml:space="preserve">**Please note: The </w:t>
      </w:r>
      <w:r w:rsidR="00676CF0">
        <w:rPr>
          <w:b/>
          <w:sz w:val="24"/>
          <w:szCs w:val="24"/>
        </w:rPr>
        <w:t>entire</w:t>
      </w:r>
      <w:r w:rsidRPr="00C74673">
        <w:rPr>
          <w:b/>
          <w:sz w:val="24"/>
          <w:szCs w:val="24"/>
        </w:rPr>
        <w:t xml:space="preserve"> process takes several months to a year to complete**</w:t>
      </w:r>
    </w:p>
    <w:p w14:paraId="50411643" w14:textId="2008BDB5" w:rsidR="00AC3607" w:rsidRDefault="00577B13" w:rsidP="00577B13">
      <w:pPr>
        <w:pStyle w:val="Heading2"/>
      </w:pPr>
      <w:r>
        <w:t xml:space="preserve">  Step 1: L</w:t>
      </w:r>
      <w:r w:rsidR="00AC3607" w:rsidRPr="00B052CC">
        <w:t xml:space="preserve">andowner with qualifying property approaches the </w:t>
      </w:r>
      <w:r w:rsidR="00272D86" w:rsidRPr="005D25D9">
        <w:rPr>
          <w:rFonts w:asciiTheme="majorHAnsi" w:hAnsiTheme="majorHAnsi"/>
          <w:sz w:val="24"/>
          <w:szCs w:val="24"/>
        </w:rPr>
        <w:t>500-Year Forest Foundation</w:t>
      </w:r>
    </w:p>
    <w:p w14:paraId="6BFFDC68" w14:textId="77777777" w:rsidR="00934E6A" w:rsidRPr="008602FF" w:rsidRDefault="008602FF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Potential properties</w:t>
      </w:r>
      <w:r w:rsidRPr="008602FF">
        <w:rPr>
          <w:rFonts w:asciiTheme="majorHAnsi" w:hAnsiTheme="majorHAnsi"/>
          <w:sz w:val="24"/>
          <w:szCs w:val="24"/>
        </w:rPr>
        <w:t>…</w:t>
      </w:r>
    </w:p>
    <w:p w14:paraId="51B77A57" w14:textId="7587998A" w:rsidR="00934E6A" w:rsidRPr="008602FF" w:rsidRDefault="008602FF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4E6A" w:rsidRPr="008602FF">
        <w:rPr>
          <w:rFonts w:asciiTheme="majorHAnsi" w:hAnsiTheme="majorHAnsi"/>
          <w:sz w:val="24"/>
          <w:szCs w:val="24"/>
        </w:rPr>
        <w:t>-</w:t>
      </w:r>
      <w:r w:rsidR="00B7171E">
        <w:rPr>
          <w:rFonts w:asciiTheme="majorHAnsi" w:hAnsiTheme="majorHAnsi"/>
          <w:sz w:val="24"/>
          <w:szCs w:val="24"/>
        </w:rPr>
        <w:t>Preferably h</w:t>
      </w:r>
      <w:r w:rsidR="00934E6A" w:rsidRPr="008602FF">
        <w:rPr>
          <w:rFonts w:asciiTheme="majorHAnsi" w:hAnsiTheme="majorHAnsi"/>
          <w:sz w:val="24"/>
          <w:szCs w:val="24"/>
        </w:rPr>
        <w:t xml:space="preserve">ave </w:t>
      </w:r>
      <w:r w:rsidR="00F6233D">
        <w:rPr>
          <w:rFonts w:asciiTheme="majorHAnsi" w:hAnsiTheme="majorHAnsi"/>
          <w:sz w:val="24"/>
          <w:szCs w:val="24"/>
        </w:rPr>
        <w:t xml:space="preserve">an existing </w:t>
      </w:r>
      <w:r w:rsidR="00934E6A" w:rsidRPr="008602FF">
        <w:rPr>
          <w:rFonts w:asciiTheme="majorHAnsi" w:hAnsiTheme="majorHAnsi"/>
          <w:sz w:val="24"/>
          <w:szCs w:val="24"/>
        </w:rPr>
        <w:t xml:space="preserve">underlying conservation </w:t>
      </w:r>
      <w:r w:rsidR="00577B13" w:rsidRPr="008602FF">
        <w:rPr>
          <w:rFonts w:asciiTheme="majorHAnsi" w:hAnsiTheme="majorHAnsi"/>
          <w:sz w:val="24"/>
          <w:szCs w:val="24"/>
        </w:rPr>
        <w:t>easement</w:t>
      </w:r>
      <w:r w:rsidR="00B7171E">
        <w:rPr>
          <w:rFonts w:asciiTheme="majorHAnsi" w:hAnsiTheme="majorHAnsi"/>
          <w:sz w:val="24"/>
          <w:szCs w:val="24"/>
        </w:rPr>
        <w:t>.</w:t>
      </w:r>
    </w:p>
    <w:p w14:paraId="06DD3F7D" w14:textId="6E6C3E69" w:rsidR="00934E6A" w:rsidRPr="008602FF" w:rsidRDefault="008602FF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4E6A" w:rsidRPr="008602FF">
        <w:rPr>
          <w:rFonts w:asciiTheme="majorHAnsi" w:hAnsiTheme="majorHAnsi"/>
          <w:sz w:val="24"/>
          <w:szCs w:val="24"/>
        </w:rPr>
        <w:t xml:space="preserve">-Must be approximately 100 acres of land total </w:t>
      </w:r>
      <w:r w:rsidR="00934E6A" w:rsidRPr="00F6233D">
        <w:rPr>
          <w:rFonts w:asciiTheme="majorHAnsi" w:hAnsiTheme="majorHAnsi"/>
          <w:sz w:val="24"/>
          <w:szCs w:val="24"/>
        </w:rPr>
        <w:t xml:space="preserve">(may be multiple </w:t>
      </w:r>
      <w:r w:rsidR="00F6233D" w:rsidRPr="00F6233D">
        <w:rPr>
          <w:rFonts w:asciiTheme="majorHAnsi" w:hAnsiTheme="majorHAnsi"/>
          <w:sz w:val="24"/>
          <w:szCs w:val="24"/>
        </w:rPr>
        <w:t>parcels</w:t>
      </w:r>
      <w:r w:rsidR="00934E6A" w:rsidRPr="00F6233D">
        <w:rPr>
          <w:rFonts w:asciiTheme="majorHAnsi" w:hAnsiTheme="majorHAnsi"/>
          <w:sz w:val="24"/>
          <w:szCs w:val="24"/>
        </w:rPr>
        <w:t>)</w:t>
      </w:r>
    </w:p>
    <w:p w14:paraId="70D956C1" w14:textId="2773126C" w:rsidR="00934E6A" w:rsidRDefault="008602FF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2D86">
        <w:rPr>
          <w:rFonts w:asciiTheme="majorHAnsi" w:hAnsiTheme="majorHAnsi"/>
          <w:sz w:val="24"/>
          <w:szCs w:val="24"/>
        </w:rPr>
        <w:t>-A</w:t>
      </w:r>
      <w:r w:rsidR="00934E6A" w:rsidRPr="008602FF">
        <w:rPr>
          <w:rFonts w:asciiTheme="majorHAnsi" w:hAnsiTheme="majorHAnsi"/>
          <w:sz w:val="24"/>
          <w:szCs w:val="24"/>
        </w:rPr>
        <w:t xml:space="preserve"> </w:t>
      </w:r>
      <w:r w:rsidR="00241FF1">
        <w:rPr>
          <w:rFonts w:asciiTheme="majorHAnsi" w:hAnsiTheme="majorHAnsi"/>
          <w:sz w:val="24"/>
          <w:szCs w:val="24"/>
        </w:rPr>
        <w:t>significant amount</w:t>
      </w:r>
      <w:r w:rsidR="00934E6A" w:rsidRPr="008602FF">
        <w:rPr>
          <w:rFonts w:asciiTheme="majorHAnsi" w:hAnsiTheme="majorHAnsi"/>
          <w:sz w:val="24"/>
          <w:szCs w:val="24"/>
        </w:rPr>
        <w:t xml:space="preserve"> of the trees on proposed land must be approximately 70 years </w:t>
      </w:r>
      <w:r w:rsidR="00272D86">
        <w:rPr>
          <w:rFonts w:asciiTheme="majorHAnsi" w:hAnsiTheme="majorHAnsi"/>
          <w:sz w:val="24"/>
          <w:szCs w:val="24"/>
        </w:rPr>
        <w:tab/>
      </w:r>
      <w:r w:rsidR="00934E6A" w:rsidRPr="008602FF">
        <w:rPr>
          <w:rFonts w:asciiTheme="majorHAnsi" w:hAnsiTheme="majorHAnsi"/>
          <w:sz w:val="24"/>
          <w:szCs w:val="24"/>
        </w:rPr>
        <w:t xml:space="preserve">or older </w:t>
      </w:r>
    </w:p>
    <w:p w14:paraId="436E6C21" w14:textId="6B4A18F7" w:rsidR="00EB419C" w:rsidRDefault="00F6233D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</w:t>
      </w:r>
      <w:r w:rsidR="00B7171E">
        <w:rPr>
          <w:rFonts w:asciiTheme="majorHAnsi" w:hAnsiTheme="majorHAnsi"/>
          <w:sz w:val="24"/>
          <w:szCs w:val="24"/>
        </w:rPr>
        <w:t>A largely intact and well-stocked forest with minimal evidence of recent cutting and/or heavy disturbance.</w:t>
      </w:r>
    </w:p>
    <w:p w14:paraId="5CE21ABB" w14:textId="5E71D3FD" w:rsidR="00934E6A" w:rsidRPr="008602FF" w:rsidRDefault="00F6233D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-Indications t</w:t>
      </w:r>
      <w:r w:rsidR="00EB419C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at</w:t>
      </w:r>
      <w:r w:rsidR="00EB419C">
        <w:rPr>
          <w:rFonts w:asciiTheme="majorHAnsi" w:hAnsiTheme="majorHAnsi"/>
          <w:sz w:val="24"/>
          <w:szCs w:val="24"/>
        </w:rPr>
        <w:t xml:space="preserve"> site qu</w:t>
      </w:r>
      <w:r>
        <w:rPr>
          <w:rFonts w:asciiTheme="majorHAnsi" w:hAnsiTheme="majorHAnsi"/>
          <w:sz w:val="24"/>
          <w:szCs w:val="24"/>
        </w:rPr>
        <w:t>al</w:t>
      </w:r>
      <w:r w:rsidR="00EB419C">
        <w:rPr>
          <w:rFonts w:asciiTheme="majorHAnsi" w:hAnsiTheme="majorHAnsi"/>
          <w:sz w:val="24"/>
          <w:szCs w:val="24"/>
        </w:rPr>
        <w:t xml:space="preserve">ity will support </w:t>
      </w:r>
      <w:r>
        <w:rPr>
          <w:rFonts w:asciiTheme="majorHAnsi" w:hAnsiTheme="majorHAnsi"/>
          <w:sz w:val="24"/>
          <w:szCs w:val="24"/>
        </w:rPr>
        <w:t>trajectory</w:t>
      </w:r>
      <w:r w:rsidR="00EB419C">
        <w:rPr>
          <w:rFonts w:asciiTheme="majorHAnsi" w:hAnsiTheme="majorHAnsi"/>
          <w:sz w:val="24"/>
          <w:szCs w:val="24"/>
        </w:rPr>
        <w:t xml:space="preserve"> into old growth forest</w:t>
      </w:r>
    </w:p>
    <w:p w14:paraId="69285212" w14:textId="3AE87B46" w:rsidR="00AC3607" w:rsidRDefault="00577B13" w:rsidP="008602FF">
      <w:pPr>
        <w:pStyle w:val="Heading2"/>
      </w:pPr>
      <w:r>
        <w:t xml:space="preserve">Step 2: </w:t>
      </w:r>
      <w:r w:rsidR="00272D86">
        <w:t>The 500-Year Forest Foundation</w:t>
      </w:r>
      <w:r w:rsidR="00AC3607" w:rsidRPr="00B052CC">
        <w:t xml:space="preserve"> confirms </w:t>
      </w:r>
      <w:r>
        <w:t xml:space="preserve">that the proposed </w:t>
      </w:r>
      <w:r w:rsidR="00AC3607" w:rsidRPr="00B052CC">
        <w:t>property meets criteria</w:t>
      </w:r>
      <w:r w:rsidR="00F6233D">
        <w:t xml:space="preserve"> and responds to Forest </w:t>
      </w:r>
      <w:r w:rsidR="00934E6A">
        <w:t>owner</w:t>
      </w:r>
    </w:p>
    <w:p w14:paraId="4AE16A15" w14:textId="1D396CBC" w:rsidR="008602FF" w:rsidRDefault="00272D86" w:rsidP="000B5711">
      <w:p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5D25D9">
        <w:rPr>
          <w:rFonts w:asciiTheme="majorHAnsi" w:hAnsiTheme="majorHAnsi"/>
          <w:sz w:val="24"/>
          <w:szCs w:val="24"/>
        </w:rPr>
        <w:t xml:space="preserve">500-Year Forest Foundation </w:t>
      </w:r>
      <w:r>
        <w:rPr>
          <w:rFonts w:asciiTheme="majorHAnsi" w:hAnsiTheme="majorHAnsi"/>
          <w:sz w:val="24"/>
          <w:szCs w:val="22"/>
        </w:rPr>
        <w:t>B</w:t>
      </w:r>
      <w:r w:rsidR="009A1DEA" w:rsidRPr="000B5711">
        <w:rPr>
          <w:rFonts w:asciiTheme="majorHAnsi" w:hAnsiTheme="majorHAnsi"/>
          <w:sz w:val="24"/>
          <w:szCs w:val="22"/>
        </w:rPr>
        <w:t>oard</w:t>
      </w:r>
      <w:r>
        <w:rPr>
          <w:rFonts w:asciiTheme="majorHAnsi" w:hAnsiTheme="majorHAnsi"/>
          <w:sz w:val="24"/>
          <w:szCs w:val="22"/>
        </w:rPr>
        <w:t xml:space="preserve"> of Directors</w:t>
      </w:r>
      <w:r w:rsidR="009A1DEA" w:rsidRPr="000B5711">
        <w:rPr>
          <w:rFonts w:asciiTheme="majorHAnsi" w:hAnsiTheme="majorHAnsi"/>
          <w:sz w:val="24"/>
          <w:szCs w:val="22"/>
        </w:rPr>
        <w:t xml:space="preserve"> reviews the project </w:t>
      </w:r>
      <w:r w:rsidR="00676CF0" w:rsidRPr="000B5711">
        <w:rPr>
          <w:rFonts w:asciiTheme="majorHAnsi" w:hAnsiTheme="majorHAnsi"/>
          <w:sz w:val="24"/>
          <w:szCs w:val="22"/>
        </w:rPr>
        <w:t>proposal and</w:t>
      </w:r>
      <w:r w:rsidR="000B5711" w:rsidRPr="000B5711">
        <w:rPr>
          <w:rFonts w:asciiTheme="majorHAnsi" w:hAnsiTheme="majorHAnsi"/>
          <w:sz w:val="24"/>
          <w:szCs w:val="22"/>
        </w:rPr>
        <w:t xml:space="preserve"> establishes a connection via email and phone calls.</w:t>
      </w:r>
      <w:r w:rsidR="00376CB6">
        <w:rPr>
          <w:rFonts w:asciiTheme="majorHAnsi" w:hAnsiTheme="majorHAnsi"/>
          <w:sz w:val="24"/>
          <w:szCs w:val="22"/>
        </w:rPr>
        <w:t xml:space="preserve">  </w:t>
      </w:r>
      <w:r w:rsidR="00376CB6" w:rsidRPr="00376CB6">
        <w:rPr>
          <w:rFonts w:asciiTheme="majorHAnsi" w:hAnsiTheme="majorHAnsi"/>
          <w:b/>
          <w:bCs/>
          <w:i/>
          <w:iCs/>
          <w:sz w:val="24"/>
          <w:szCs w:val="22"/>
        </w:rPr>
        <w:t>Forest owner is apprised of a required stewardship fee.</w:t>
      </w:r>
    </w:p>
    <w:p w14:paraId="10B8B99C" w14:textId="30583351" w:rsidR="005D25D9" w:rsidRPr="00BD5915" w:rsidRDefault="005D25D9" w:rsidP="005D25D9">
      <w:pPr>
        <w:pStyle w:val="Heading2"/>
      </w:pPr>
      <w:r w:rsidRPr="00BD5915">
        <w:t xml:space="preserve">Step 3: Forest owner engages advice of legal counsel independent of the </w:t>
      </w:r>
      <w:r w:rsidR="000945C0" w:rsidRPr="00BD5915">
        <w:t xml:space="preserve">500-Year Forest Foundation </w:t>
      </w:r>
    </w:p>
    <w:p w14:paraId="2ACCDFF6" w14:textId="1E983B4A" w:rsidR="005D25D9" w:rsidRDefault="005D25D9" w:rsidP="000B5711">
      <w:pPr>
        <w:rPr>
          <w:rFonts w:asciiTheme="majorHAnsi" w:hAnsiTheme="majorHAnsi"/>
          <w:sz w:val="24"/>
          <w:szCs w:val="24"/>
        </w:rPr>
      </w:pPr>
      <w:r w:rsidRPr="005D25D9">
        <w:rPr>
          <w:rFonts w:asciiTheme="majorHAnsi" w:hAnsiTheme="majorHAnsi"/>
          <w:sz w:val="24"/>
          <w:szCs w:val="24"/>
        </w:rPr>
        <w:t xml:space="preserve">Forest owner has an understanding that the 500-Year Forest Foundation is not providing legal advice.  </w:t>
      </w:r>
    </w:p>
    <w:p w14:paraId="655A8584" w14:textId="44FF8026" w:rsidR="005B43AC" w:rsidRPr="00BD5915" w:rsidRDefault="005B43AC" w:rsidP="002E7B0D">
      <w:pPr>
        <w:pStyle w:val="Heading2"/>
      </w:pPr>
      <w:r w:rsidRPr="00BD5915">
        <w:t xml:space="preserve">Step 4: Forest is visited by representatives from </w:t>
      </w:r>
      <w:r w:rsidR="000945C0" w:rsidRPr="00BD5915">
        <w:t xml:space="preserve">The 500-Year Forest Foundation </w:t>
      </w:r>
      <w:r w:rsidRPr="00BD5915">
        <w:t>and forest owner</w:t>
      </w:r>
    </w:p>
    <w:p w14:paraId="1D32E93E" w14:textId="77777777" w:rsidR="002E7B0D" w:rsidRPr="00BD5915" w:rsidRDefault="002E7B0D" w:rsidP="002E7B0D"/>
    <w:p w14:paraId="220DC09B" w14:textId="18E3FF95" w:rsidR="002E7B0D" w:rsidRPr="00BD5915" w:rsidRDefault="00D4189C" w:rsidP="00D4189C">
      <w:pPr>
        <w:pStyle w:val="Heading2"/>
      </w:pPr>
      <w:r w:rsidRPr="00BD5915">
        <w:t xml:space="preserve">Step 5: </w:t>
      </w:r>
      <w:r w:rsidR="002E7B0D" w:rsidRPr="00BD5915">
        <w:t xml:space="preserve">Mortgage Subordination </w:t>
      </w:r>
      <w:r w:rsidRPr="00BD5915">
        <w:t>is submitted by forest owner</w:t>
      </w:r>
      <w:r w:rsidR="002E7B0D" w:rsidRPr="00BD5915">
        <w:t xml:space="preserve"> </w:t>
      </w:r>
      <w:r w:rsidRPr="00BD5915">
        <w:t>(</w:t>
      </w:r>
      <w:r w:rsidR="002E7B0D" w:rsidRPr="00BD5915">
        <w:t>if necessary)</w:t>
      </w:r>
    </w:p>
    <w:p w14:paraId="04A2CE4F" w14:textId="77777777" w:rsidR="002E7B0D" w:rsidRDefault="002E7B0D" w:rsidP="002E7B0D"/>
    <w:p w14:paraId="0A629F00" w14:textId="77777777" w:rsidR="00272D86" w:rsidRPr="00BD5915" w:rsidRDefault="00272D86" w:rsidP="002E7B0D"/>
    <w:p w14:paraId="44AF96E6" w14:textId="2FBDD45D" w:rsidR="00AC3607" w:rsidRPr="00BD5915" w:rsidRDefault="00577B13" w:rsidP="008602FF">
      <w:pPr>
        <w:pStyle w:val="Heading2"/>
      </w:pPr>
      <w:r w:rsidRPr="00BD5915">
        <w:lastRenderedPageBreak/>
        <w:t>S</w:t>
      </w:r>
      <w:r w:rsidR="00D4189C" w:rsidRPr="00BD5915">
        <w:t>tep 6</w:t>
      </w:r>
      <w:r w:rsidRPr="00BD5915">
        <w:t xml:space="preserve">: </w:t>
      </w:r>
      <w:r w:rsidR="00AC3607" w:rsidRPr="00BD5915">
        <w:t>Property is surveyed by</w:t>
      </w:r>
      <w:r w:rsidR="00F6233D" w:rsidRPr="00BD5915">
        <w:t xml:space="preserve"> forest owner</w:t>
      </w:r>
    </w:p>
    <w:p w14:paraId="3EDA59AA" w14:textId="75245986" w:rsidR="00F6233D" w:rsidRPr="008602FF" w:rsidRDefault="00B7171E" w:rsidP="00AC3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require a formal survey and plat if the property lines are questionable and previous plats and surveys do not exist.  The s</w:t>
      </w:r>
      <w:r w:rsidR="00934E6A" w:rsidRPr="008602FF">
        <w:rPr>
          <w:rFonts w:asciiTheme="majorHAnsi" w:hAnsiTheme="majorHAnsi"/>
          <w:sz w:val="24"/>
          <w:szCs w:val="24"/>
        </w:rPr>
        <w:t>urvey</w:t>
      </w:r>
      <w:r>
        <w:rPr>
          <w:rFonts w:asciiTheme="majorHAnsi" w:hAnsiTheme="majorHAnsi"/>
          <w:sz w:val="24"/>
          <w:szCs w:val="24"/>
        </w:rPr>
        <w:t xml:space="preserve"> and plat</w:t>
      </w:r>
      <w:r w:rsidR="00934E6A" w:rsidRPr="008602FF">
        <w:rPr>
          <w:rFonts w:asciiTheme="majorHAnsi" w:hAnsiTheme="majorHAnsi"/>
          <w:sz w:val="24"/>
          <w:szCs w:val="24"/>
        </w:rPr>
        <w:t xml:space="preserve"> </w:t>
      </w:r>
      <w:r w:rsidRPr="008602FF">
        <w:rPr>
          <w:rFonts w:asciiTheme="majorHAnsi" w:hAnsiTheme="majorHAnsi"/>
          <w:sz w:val="24"/>
          <w:szCs w:val="24"/>
        </w:rPr>
        <w:t>establish</w:t>
      </w:r>
      <w:r w:rsidR="00934E6A" w:rsidRPr="008602FF">
        <w:rPr>
          <w:rFonts w:asciiTheme="majorHAnsi" w:hAnsiTheme="majorHAnsi"/>
          <w:sz w:val="24"/>
          <w:szCs w:val="24"/>
        </w:rPr>
        <w:t xml:space="preserve"> proposed 500-</w:t>
      </w:r>
      <w:r w:rsidR="00577B13" w:rsidRPr="008602FF">
        <w:rPr>
          <w:rFonts w:asciiTheme="majorHAnsi" w:hAnsiTheme="majorHAnsi"/>
          <w:sz w:val="24"/>
          <w:szCs w:val="24"/>
        </w:rPr>
        <w:t>Year Forest b</w:t>
      </w:r>
      <w:r w:rsidR="00934E6A" w:rsidRPr="008602FF">
        <w:rPr>
          <w:rFonts w:asciiTheme="majorHAnsi" w:hAnsiTheme="majorHAnsi"/>
          <w:sz w:val="24"/>
          <w:szCs w:val="24"/>
        </w:rPr>
        <w:t>oundaries as well as potential forest</w:t>
      </w:r>
      <w:r w:rsidR="008602FF">
        <w:rPr>
          <w:rFonts w:asciiTheme="majorHAnsi" w:hAnsiTheme="majorHAnsi"/>
          <w:sz w:val="24"/>
          <w:szCs w:val="24"/>
        </w:rPr>
        <w:t xml:space="preserve"> </w:t>
      </w:r>
      <w:r w:rsidR="00934E6A" w:rsidRPr="008602FF">
        <w:rPr>
          <w:rFonts w:asciiTheme="majorHAnsi" w:hAnsiTheme="majorHAnsi"/>
          <w:sz w:val="24"/>
          <w:szCs w:val="24"/>
        </w:rPr>
        <w:t>inventory survey points.</w:t>
      </w:r>
      <w:r w:rsidR="002E7B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Ordinarily, we can flag and GPS the boundaries of the 500 YFF if a good plat is available.  A l</w:t>
      </w:r>
      <w:r w:rsidR="002E7B0D">
        <w:rPr>
          <w:rFonts w:asciiTheme="majorHAnsi" w:hAnsiTheme="majorHAnsi"/>
          <w:sz w:val="24"/>
          <w:szCs w:val="24"/>
        </w:rPr>
        <w:t>egal description is then created f</w:t>
      </w:r>
      <w:r>
        <w:rPr>
          <w:rFonts w:asciiTheme="majorHAnsi" w:hAnsiTheme="majorHAnsi"/>
          <w:sz w:val="24"/>
          <w:szCs w:val="24"/>
        </w:rPr>
        <w:t>ro</w:t>
      </w:r>
      <w:r w:rsidR="002E7B0D">
        <w:rPr>
          <w:rFonts w:asciiTheme="majorHAnsi" w:hAnsiTheme="majorHAnsi"/>
          <w:sz w:val="24"/>
          <w:szCs w:val="24"/>
        </w:rPr>
        <w:t>m this process.</w:t>
      </w:r>
    </w:p>
    <w:p w14:paraId="796918D2" w14:textId="37E40BBA" w:rsidR="00AC3607" w:rsidRPr="003967FE" w:rsidRDefault="00D4189C" w:rsidP="008602FF">
      <w:pPr>
        <w:pStyle w:val="Heading2"/>
        <w:rPr>
          <w:szCs w:val="24"/>
        </w:rPr>
      </w:pPr>
      <w:r w:rsidRPr="003967FE">
        <w:rPr>
          <w:szCs w:val="24"/>
        </w:rPr>
        <w:t>Step 7</w:t>
      </w:r>
      <w:r w:rsidR="00577B13" w:rsidRPr="003967FE">
        <w:rPr>
          <w:szCs w:val="24"/>
        </w:rPr>
        <w:t xml:space="preserve">: </w:t>
      </w:r>
      <w:r w:rsidR="00AC3607" w:rsidRPr="003967FE">
        <w:rPr>
          <w:szCs w:val="24"/>
        </w:rPr>
        <w:t>Timber on the property is appraised by a 3</w:t>
      </w:r>
      <w:r w:rsidR="00AC3607" w:rsidRPr="003967FE">
        <w:rPr>
          <w:szCs w:val="24"/>
          <w:vertAlign w:val="superscript"/>
        </w:rPr>
        <w:t>rd</w:t>
      </w:r>
      <w:r w:rsidR="00577B13" w:rsidRPr="003967FE">
        <w:rPr>
          <w:szCs w:val="24"/>
        </w:rPr>
        <w:t xml:space="preserve"> p</w:t>
      </w:r>
      <w:r w:rsidR="00AC3607" w:rsidRPr="003967FE">
        <w:rPr>
          <w:szCs w:val="24"/>
        </w:rPr>
        <w:t>arty</w:t>
      </w:r>
      <w:r w:rsidR="002B6D7B" w:rsidRPr="003967FE">
        <w:rPr>
          <w:szCs w:val="24"/>
          <w:highlight w:val="yellow"/>
        </w:rPr>
        <w:t xml:space="preserve"> </w:t>
      </w:r>
    </w:p>
    <w:p w14:paraId="4FEA1CEF" w14:textId="70D2AC00" w:rsidR="00934E6A" w:rsidRPr="008602FF" w:rsidRDefault="00934E6A" w:rsidP="00AC3607">
      <w:pPr>
        <w:rPr>
          <w:rFonts w:asciiTheme="majorHAnsi" w:hAnsiTheme="majorHAnsi"/>
          <w:sz w:val="24"/>
          <w:szCs w:val="24"/>
        </w:rPr>
      </w:pPr>
      <w:r w:rsidRPr="008602FF">
        <w:rPr>
          <w:rFonts w:asciiTheme="majorHAnsi" w:hAnsiTheme="majorHAnsi"/>
          <w:sz w:val="24"/>
          <w:szCs w:val="24"/>
        </w:rPr>
        <w:t xml:space="preserve">This </w:t>
      </w:r>
      <w:r w:rsidR="00477D9A" w:rsidRPr="008602FF">
        <w:rPr>
          <w:rFonts w:asciiTheme="majorHAnsi" w:hAnsiTheme="majorHAnsi"/>
          <w:sz w:val="24"/>
          <w:szCs w:val="24"/>
        </w:rPr>
        <w:t>appraisal</w:t>
      </w:r>
      <w:r w:rsidRPr="008602FF">
        <w:rPr>
          <w:rFonts w:asciiTheme="majorHAnsi" w:hAnsiTheme="majorHAnsi"/>
          <w:sz w:val="24"/>
          <w:szCs w:val="24"/>
        </w:rPr>
        <w:t xml:space="preserve"> </w:t>
      </w:r>
      <w:r w:rsidR="008602FF">
        <w:rPr>
          <w:rFonts w:asciiTheme="majorHAnsi" w:hAnsiTheme="majorHAnsi"/>
          <w:sz w:val="24"/>
          <w:szCs w:val="24"/>
        </w:rPr>
        <w:t>amount</w:t>
      </w:r>
      <w:r w:rsidRPr="008602FF">
        <w:rPr>
          <w:rFonts w:asciiTheme="majorHAnsi" w:hAnsiTheme="majorHAnsi"/>
          <w:sz w:val="24"/>
          <w:szCs w:val="24"/>
        </w:rPr>
        <w:t xml:space="preserve"> </w:t>
      </w:r>
      <w:r w:rsidR="00477D9A" w:rsidRPr="008602FF">
        <w:rPr>
          <w:rFonts w:asciiTheme="majorHAnsi" w:hAnsiTheme="majorHAnsi"/>
          <w:sz w:val="24"/>
          <w:szCs w:val="24"/>
        </w:rPr>
        <w:t xml:space="preserve">will later </w:t>
      </w:r>
      <w:r w:rsidR="00196B1C">
        <w:rPr>
          <w:rFonts w:asciiTheme="majorHAnsi" w:hAnsiTheme="majorHAnsi"/>
          <w:sz w:val="24"/>
          <w:szCs w:val="24"/>
        </w:rPr>
        <w:t>be used</w:t>
      </w:r>
      <w:r w:rsidRPr="008602FF">
        <w:rPr>
          <w:rFonts w:asciiTheme="majorHAnsi" w:hAnsiTheme="majorHAnsi"/>
          <w:sz w:val="24"/>
          <w:szCs w:val="24"/>
        </w:rPr>
        <w:t xml:space="preserve"> to determine</w:t>
      </w:r>
      <w:r w:rsidR="00577B13" w:rsidRPr="008602FF">
        <w:rPr>
          <w:rFonts w:asciiTheme="majorHAnsi" w:hAnsiTheme="majorHAnsi"/>
          <w:sz w:val="24"/>
          <w:szCs w:val="24"/>
        </w:rPr>
        <w:t xml:space="preserve"> the amount of </w:t>
      </w:r>
      <w:r w:rsidR="00477D9A" w:rsidRPr="008602FF">
        <w:rPr>
          <w:rFonts w:asciiTheme="majorHAnsi" w:hAnsiTheme="majorHAnsi"/>
          <w:sz w:val="24"/>
          <w:szCs w:val="24"/>
        </w:rPr>
        <w:t>available</w:t>
      </w:r>
      <w:r w:rsidR="00577B13" w:rsidRPr="008602FF">
        <w:rPr>
          <w:rFonts w:asciiTheme="majorHAnsi" w:hAnsiTheme="majorHAnsi"/>
          <w:sz w:val="24"/>
          <w:szCs w:val="24"/>
        </w:rPr>
        <w:t xml:space="preserve"> tax credits. Tax </w:t>
      </w:r>
      <w:r w:rsidR="002B6D7B" w:rsidRPr="008602FF">
        <w:rPr>
          <w:rFonts w:asciiTheme="majorHAnsi" w:hAnsiTheme="majorHAnsi"/>
          <w:sz w:val="24"/>
          <w:szCs w:val="24"/>
        </w:rPr>
        <w:t>credits</w:t>
      </w:r>
      <w:r w:rsidR="00577B13" w:rsidRPr="008602FF">
        <w:rPr>
          <w:rFonts w:asciiTheme="majorHAnsi" w:hAnsiTheme="majorHAnsi"/>
          <w:sz w:val="24"/>
          <w:szCs w:val="24"/>
        </w:rPr>
        <w:t xml:space="preserve"> </w:t>
      </w:r>
      <w:r w:rsidR="002B6D7B" w:rsidRPr="008602FF">
        <w:rPr>
          <w:rFonts w:asciiTheme="majorHAnsi" w:hAnsiTheme="majorHAnsi"/>
          <w:sz w:val="24"/>
          <w:szCs w:val="24"/>
        </w:rPr>
        <w:t>received</w:t>
      </w:r>
      <w:r w:rsidR="00577B13" w:rsidRPr="008602FF">
        <w:rPr>
          <w:rFonts w:asciiTheme="majorHAnsi" w:hAnsiTheme="majorHAnsi"/>
          <w:sz w:val="24"/>
          <w:szCs w:val="24"/>
        </w:rPr>
        <w:t xml:space="preserve"> </w:t>
      </w:r>
      <w:r w:rsidR="00C111F4">
        <w:rPr>
          <w:rFonts w:asciiTheme="majorHAnsi" w:hAnsiTheme="majorHAnsi"/>
          <w:sz w:val="24"/>
          <w:szCs w:val="24"/>
        </w:rPr>
        <w:t>may</w:t>
      </w:r>
      <w:r w:rsidR="00426EA2" w:rsidRPr="008602FF">
        <w:rPr>
          <w:rFonts w:asciiTheme="majorHAnsi" w:hAnsiTheme="majorHAnsi"/>
          <w:sz w:val="24"/>
          <w:szCs w:val="24"/>
        </w:rPr>
        <w:t xml:space="preserve"> be 40% of the </w:t>
      </w:r>
      <w:r w:rsidR="002B6D7B" w:rsidRPr="008602FF">
        <w:rPr>
          <w:rFonts w:asciiTheme="majorHAnsi" w:hAnsiTheme="majorHAnsi"/>
          <w:sz w:val="24"/>
          <w:szCs w:val="24"/>
        </w:rPr>
        <w:t>appraised</w:t>
      </w:r>
      <w:r w:rsidR="00426EA2" w:rsidRPr="008602FF">
        <w:rPr>
          <w:rFonts w:asciiTheme="majorHAnsi" w:hAnsiTheme="majorHAnsi"/>
          <w:sz w:val="24"/>
          <w:szCs w:val="24"/>
        </w:rPr>
        <w:t xml:space="preserve"> </w:t>
      </w:r>
      <w:r w:rsidR="00B7171E">
        <w:rPr>
          <w:rFonts w:asciiTheme="majorHAnsi" w:hAnsiTheme="majorHAnsi"/>
          <w:sz w:val="24"/>
          <w:szCs w:val="24"/>
        </w:rPr>
        <w:t>standing timber value</w:t>
      </w:r>
      <w:r w:rsidR="00426EA2" w:rsidRPr="008602FF">
        <w:rPr>
          <w:rFonts w:asciiTheme="majorHAnsi" w:hAnsiTheme="majorHAnsi"/>
          <w:sz w:val="24"/>
          <w:szCs w:val="24"/>
        </w:rPr>
        <w:t>,</w:t>
      </w:r>
      <w:r w:rsidR="00FD280C">
        <w:rPr>
          <w:rFonts w:asciiTheme="majorHAnsi" w:hAnsiTheme="majorHAnsi"/>
          <w:sz w:val="24"/>
          <w:szCs w:val="24"/>
        </w:rPr>
        <w:t xml:space="preserve"> but could be less,</w:t>
      </w:r>
      <w:r w:rsidR="00426EA2" w:rsidRPr="008602FF">
        <w:rPr>
          <w:rFonts w:asciiTheme="majorHAnsi" w:hAnsiTheme="majorHAnsi"/>
          <w:sz w:val="24"/>
          <w:szCs w:val="24"/>
        </w:rPr>
        <w:t xml:space="preserve"> for a total of up to $50,000 per property per year</w:t>
      </w:r>
      <w:r w:rsidR="008602FF">
        <w:rPr>
          <w:rFonts w:asciiTheme="majorHAnsi" w:hAnsiTheme="majorHAnsi"/>
          <w:sz w:val="24"/>
          <w:szCs w:val="24"/>
        </w:rPr>
        <w:t xml:space="preserve"> for 10 years</w:t>
      </w:r>
      <w:r w:rsidR="00426EA2" w:rsidRPr="008602FF">
        <w:rPr>
          <w:rFonts w:asciiTheme="majorHAnsi" w:hAnsiTheme="majorHAnsi"/>
          <w:sz w:val="24"/>
          <w:szCs w:val="24"/>
        </w:rPr>
        <w:t xml:space="preserve">. </w:t>
      </w:r>
    </w:p>
    <w:p w14:paraId="6364E559" w14:textId="73A3F2B1" w:rsidR="002B6D7B" w:rsidRPr="003967FE" w:rsidRDefault="00D4189C" w:rsidP="008602FF">
      <w:pPr>
        <w:pStyle w:val="Heading2"/>
        <w:rPr>
          <w:szCs w:val="24"/>
        </w:rPr>
      </w:pPr>
      <w:r w:rsidRPr="003967FE">
        <w:rPr>
          <w:szCs w:val="24"/>
        </w:rPr>
        <w:t>Step 8</w:t>
      </w:r>
      <w:r w:rsidR="008602FF" w:rsidRPr="003967FE">
        <w:rPr>
          <w:szCs w:val="24"/>
        </w:rPr>
        <w:t xml:space="preserve">: A </w:t>
      </w:r>
      <w:r w:rsidR="00AC3607" w:rsidRPr="003967FE">
        <w:rPr>
          <w:szCs w:val="24"/>
        </w:rPr>
        <w:t>Baseline Documentation Report (BDR) is cre</w:t>
      </w:r>
      <w:r w:rsidR="002B6D7B" w:rsidRPr="003967FE">
        <w:rPr>
          <w:szCs w:val="24"/>
        </w:rPr>
        <w:t>a</w:t>
      </w:r>
      <w:r w:rsidR="00AC3607" w:rsidRPr="003967FE">
        <w:rPr>
          <w:szCs w:val="24"/>
        </w:rPr>
        <w:t>ted by</w:t>
      </w:r>
      <w:r w:rsidR="00D0481F" w:rsidRPr="003967FE">
        <w:rPr>
          <w:szCs w:val="24"/>
        </w:rPr>
        <w:t xml:space="preserve"> 3</w:t>
      </w:r>
      <w:r w:rsidR="00D0481F" w:rsidRPr="003967FE">
        <w:rPr>
          <w:szCs w:val="24"/>
          <w:vertAlign w:val="superscript"/>
        </w:rPr>
        <w:t>rd</w:t>
      </w:r>
      <w:r w:rsidR="00D0481F" w:rsidRPr="003967FE">
        <w:rPr>
          <w:szCs w:val="24"/>
        </w:rPr>
        <w:t xml:space="preserve"> Party</w:t>
      </w:r>
      <w:r w:rsidR="00AC3607" w:rsidRPr="003967FE">
        <w:rPr>
          <w:szCs w:val="24"/>
        </w:rPr>
        <w:t xml:space="preserve"> </w:t>
      </w:r>
    </w:p>
    <w:p w14:paraId="4EFF3811" w14:textId="289B91D4" w:rsidR="002A434C" w:rsidRPr="008602FF" w:rsidRDefault="002B6D7B" w:rsidP="00AC3607">
      <w:pPr>
        <w:rPr>
          <w:rFonts w:asciiTheme="majorHAnsi" w:hAnsiTheme="majorHAnsi"/>
          <w:sz w:val="24"/>
          <w:szCs w:val="24"/>
        </w:rPr>
      </w:pPr>
      <w:r w:rsidRPr="008602FF">
        <w:rPr>
          <w:rFonts w:asciiTheme="majorHAnsi" w:hAnsiTheme="majorHAnsi"/>
          <w:sz w:val="24"/>
          <w:szCs w:val="24"/>
        </w:rPr>
        <w:t xml:space="preserve">A BDR provides the forest owner and </w:t>
      </w:r>
      <w:r w:rsidR="00196B1C">
        <w:rPr>
          <w:rFonts w:asciiTheme="majorHAnsi" w:hAnsiTheme="majorHAnsi"/>
          <w:sz w:val="24"/>
          <w:szCs w:val="24"/>
        </w:rPr>
        <w:t>the 500-Year Forest Foundation</w:t>
      </w:r>
      <w:r w:rsidRPr="008602FF">
        <w:rPr>
          <w:rFonts w:asciiTheme="majorHAnsi" w:hAnsiTheme="majorHAnsi"/>
          <w:sz w:val="24"/>
          <w:szCs w:val="24"/>
        </w:rPr>
        <w:t xml:space="preserve"> with documentation of the </w:t>
      </w:r>
      <w:r w:rsidR="001B0CFA">
        <w:rPr>
          <w:rFonts w:asciiTheme="majorHAnsi" w:hAnsiTheme="majorHAnsi"/>
          <w:sz w:val="24"/>
          <w:szCs w:val="24"/>
        </w:rPr>
        <w:t>state of the fores</w:t>
      </w:r>
      <w:r w:rsidRPr="008602FF">
        <w:rPr>
          <w:rFonts w:asciiTheme="majorHAnsi" w:hAnsiTheme="majorHAnsi"/>
          <w:sz w:val="24"/>
          <w:szCs w:val="24"/>
        </w:rPr>
        <w:t>t when it was first put under easement. Things of not</w:t>
      </w:r>
      <w:r w:rsidR="001B0CFA">
        <w:rPr>
          <w:rFonts w:asciiTheme="majorHAnsi" w:hAnsiTheme="majorHAnsi"/>
          <w:sz w:val="24"/>
          <w:szCs w:val="24"/>
        </w:rPr>
        <w:t>e</w:t>
      </w:r>
      <w:r w:rsidRPr="008602FF">
        <w:rPr>
          <w:rFonts w:asciiTheme="majorHAnsi" w:hAnsiTheme="majorHAnsi"/>
          <w:sz w:val="24"/>
          <w:szCs w:val="24"/>
        </w:rPr>
        <w:t xml:space="preserve"> in a BDR include </w:t>
      </w:r>
      <w:r w:rsidR="000945C0">
        <w:rPr>
          <w:rFonts w:asciiTheme="majorHAnsi" w:hAnsiTheme="majorHAnsi"/>
          <w:sz w:val="24"/>
          <w:szCs w:val="24"/>
        </w:rPr>
        <w:t xml:space="preserve">land use history, vegetation composition, average age of trees and general forest health observations. </w:t>
      </w:r>
    </w:p>
    <w:p w14:paraId="3B3BACEC" w14:textId="2D16311D" w:rsidR="00AC3607" w:rsidRPr="003967FE" w:rsidRDefault="00D4189C" w:rsidP="008602FF">
      <w:pPr>
        <w:pStyle w:val="Heading2"/>
        <w:rPr>
          <w:szCs w:val="24"/>
        </w:rPr>
      </w:pPr>
      <w:r w:rsidRPr="003967FE">
        <w:rPr>
          <w:szCs w:val="24"/>
        </w:rPr>
        <w:t>Step 9</w:t>
      </w:r>
      <w:r w:rsidR="008602FF" w:rsidRPr="003967FE">
        <w:rPr>
          <w:szCs w:val="24"/>
        </w:rPr>
        <w:t>: A f</w:t>
      </w:r>
      <w:r w:rsidR="00AC3607" w:rsidRPr="003967FE">
        <w:rPr>
          <w:szCs w:val="24"/>
        </w:rPr>
        <w:t>orest survey is conducted</w:t>
      </w:r>
      <w:r w:rsidR="0076668A" w:rsidRPr="003967FE">
        <w:rPr>
          <w:szCs w:val="24"/>
        </w:rPr>
        <w:t xml:space="preserve"> by </w:t>
      </w:r>
      <w:r w:rsidR="00D0481F" w:rsidRPr="003967FE">
        <w:rPr>
          <w:szCs w:val="24"/>
        </w:rPr>
        <w:t>the</w:t>
      </w:r>
      <w:r w:rsidR="0076668A" w:rsidRPr="003967FE">
        <w:rPr>
          <w:szCs w:val="24"/>
        </w:rPr>
        <w:t xml:space="preserve"> </w:t>
      </w:r>
      <w:r w:rsidR="000945C0" w:rsidRPr="003967FE">
        <w:rPr>
          <w:szCs w:val="24"/>
        </w:rPr>
        <w:t xml:space="preserve">500-Year Forest Foundation </w:t>
      </w:r>
    </w:p>
    <w:p w14:paraId="7B65A4A9" w14:textId="12BDAFB6" w:rsidR="0076668A" w:rsidRDefault="0076668A" w:rsidP="00AC3607">
      <w:pPr>
        <w:rPr>
          <w:rFonts w:asciiTheme="majorHAnsi" w:hAnsiTheme="majorHAnsi"/>
          <w:sz w:val="24"/>
          <w:szCs w:val="24"/>
        </w:rPr>
      </w:pPr>
      <w:r w:rsidRPr="008602FF">
        <w:rPr>
          <w:rFonts w:asciiTheme="majorHAnsi" w:hAnsiTheme="majorHAnsi"/>
          <w:sz w:val="24"/>
          <w:szCs w:val="24"/>
        </w:rPr>
        <w:t>Forest surveys allow our team to survey the overall hea</w:t>
      </w:r>
      <w:r w:rsidR="002A434C">
        <w:rPr>
          <w:rFonts w:asciiTheme="majorHAnsi" w:hAnsiTheme="majorHAnsi"/>
          <w:sz w:val="24"/>
          <w:szCs w:val="24"/>
        </w:rPr>
        <w:t>l</w:t>
      </w:r>
      <w:r w:rsidRPr="008602FF">
        <w:rPr>
          <w:rFonts w:asciiTheme="majorHAnsi" w:hAnsiTheme="majorHAnsi"/>
          <w:sz w:val="24"/>
          <w:szCs w:val="24"/>
        </w:rPr>
        <w:t xml:space="preserve">th of the forest, habitat makeup, and average tree age via coring. </w:t>
      </w:r>
    </w:p>
    <w:p w14:paraId="14464EEF" w14:textId="747A4F23" w:rsidR="00BF5DD7" w:rsidRPr="003967FE" w:rsidRDefault="00FC14F5" w:rsidP="00D4189C">
      <w:pPr>
        <w:pStyle w:val="Heading2"/>
      </w:pPr>
      <w:r w:rsidRPr="003967FE">
        <w:t xml:space="preserve">Step 10: Form 8283 is filled out and </w:t>
      </w:r>
      <w:r w:rsidR="00BF5DD7" w:rsidRPr="003967FE">
        <w:t>signed by landowner, then signed by appraiser</w:t>
      </w:r>
    </w:p>
    <w:p w14:paraId="1D00EE33" w14:textId="77777777" w:rsidR="00D4189C" w:rsidRPr="00D4189C" w:rsidRDefault="00D4189C" w:rsidP="00D4189C"/>
    <w:p w14:paraId="4552CB19" w14:textId="766EE452" w:rsidR="00BF5DD7" w:rsidRPr="003967FE" w:rsidRDefault="00FC14F5" w:rsidP="00D4189C">
      <w:pPr>
        <w:pStyle w:val="Heading2"/>
      </w:pPr>
      <w:r w:rsidRPr="003967FE">
        <w:t>Step 11:</w:t>
      </w:r>
      <w:r w:rsidR="00BF5DD7" w:rsidRPr="003967FE">
        <w:t xml:space="preserve"> Property Title Report and Title Insurance</w:t>
      </w:r>
      <w:r w:rsidR="00A03201" w:rsidRPr="003967FE">
        <w:t xml:space="preserve"> are obtained by forest owner</w:t>
      </w:r>
    </w:p>
    <w:p w14:paraId="47BECD54" w14:textId="77777777" w:rsidR="00D4189C" w:rsidRPr="003967FE" w:rsidRDefault="00D4189C" w:rsidP="00D4189C"/>
    <w:p w14:paraId="056AD9D0" w14:textId="4C4CEA07" w:rsidR="00AC3607" w:rsidRPr="003967FE" w:rsidRDefault="008A131A" w:rsidP="008602FF">
      <w:pPr>
        <w:pStyle w:val="Heading2"/>
        <w:rPr>
          <w:szCs w:val="24"/>
        </w:rPr>
      </w:pPr>
      <w:r w:rsidRPr="003967FE">
        <w:rPr>
          <w:szCs w:val="24"/>
        </w:rPr>
        <w:t>Step 12</w:t>
      </w:r>
      <w:r w:rsidR="008602FF" w:rsidRPr="003967FE">
        <w:rPr>
          <w:szCs w:val="24"/>
        </w:rPr>
        <w:t xml:space="preserve">: </w:t>
      </w:r>
      <w:r w:rsidR="00AC3607" w:rsidRPr="003967FE">
        <w:rPr>
          <w:szCs w:val="24"/>
        </w:rPr>
        <w:t>Overlaying conservation easement is drafted by the property owner (or a repres</w:t>
      </w:r>
      <w:r w:rsidR="002A434C" w:rsidRPr="003967FE">
        <w:rPr>
          <w:szCs w:val="24"/>
        </w:rPr>
        <w:t>entat</w:t>
      </w:r>
      <w:r w:rsidR="00AC3607" w:rsidRPr="003967FE">
        <w:rPr>
          <w:szCs w:val="24"/>
        </w:rPr>
        <w:t>ive) and represen</w:t>
      </w:r>
      <w:r w:rsidR="002A434C" w:rsidRPr="003967FE">
        <w:rPr>
          <w:szCs w:val="24"/>
        </w:rPr>
        <w:t>tatives fro</w:t>
      </w:r>
      <w:r w:rsidR="00AC3607" w:rsidRPr="003967FE">
        <w:rPr>
          <w:szCs w:val="24"/>
        </w:rPr>
        <w:t xml:space="preserve">m the </w:t>
      </w:r>
      <w:r w:rsidR="000945C0" w:rsidRPr="003967FE">
        <w:rPr>
          <w:szCs w:val="24"/>
        </w:rPr>
        <w:t>500-Year Forest Foundation</w:t>
      </w:r>
    </w:p>
    <w:p w14:paraId="54602A44" w14:textId="69C9A0D6" w:rsidR="00024B83" w:rsidRDefault="0076668A" w:rsidP="00024B83">
      <w:pPr>
        <w:rPr>
          <w:rFonts w:asciiTheme="majorHAnsi" w:hAnsiTheme="majorHAnsi"/>
          <w:sz w:val="24"/>
          <w:szCs w:val="24"/>
        </w:rPr>
      </w:pPr>
      <w:r w:rsidRPr="008602FF">
        <w:rPr>
          <w:rFonts w:asciiTheme="majorHAnsi" w:hAnsiTheme="majorHAnsi"/>
          <w:sz w:val="24"/>
          <w:szCs w:val="24"/>
        </w:rPr>
        <w:t xml:space="preserve">A template of standard easement language exists with specific </w:t>
      </w:r>
      <w:r w:rsidR="002A434C" w:rsidRPr="008602FF">
        <w:rPr>
          <w:rFonts w:asciiTheme="majorHAnsi" w:hAnsiTheme="majorHAnsi"/>
          <w:sz w:val="24"/>
          <w:szCs w:val="24"/>
        </w:rPr>
        <w:t>provisions</w:t>
      </w:r>
      <w:r w:rsidRPr="008602FF">
        <w:rPr>
          <w:rFonts w:asciiTheme="majorHAnsi" w:hAnsiTheme="majorHAnsi"/>
          <w:sz w:val="24"/>
          <w:szCs w:val="24"/>
        </w:rPr>
        <w:t xml:space="preserve"> barring </w:t>
      </w:r>
      <w:r w:rsidR="002A434C" w:rsidRPr="008602FF">
        <w:rPr>
          <w:rFonts w:asciiTheme="majorHAnsi" w:hAnsiTheme="majorHAnsi"/>
          <w:sz w:val="24"/>
          <w:szCs w:val="24"/>
        </w:rPr>
        <w:t>agricultural</w:t>
      </w:r>
      <w:r w:rsidRPr="008602FF">
        <w:rPr>
          <w:rFonts w:asciiTheme="majorHAnsi" w:hAnsiTheme="majorHAnsi"/>
          <w:sz w:val="24"/>
          <w:szCs w:val="24"/>
        </w:rPr>
        <w:t xml:space="preserve"> and timber </w:t>
      </w:r>
      <w:r w:rsidR="002A434C" w:rsidRPr="008602FF">
        <w:rPr>
          <w:rFonts w:asciiTheme="majorHAnsi" w:hAnsiTheme="majorHAnsi"/>
          <w:sz w:val="24"/>
          <w:szCs w:val="24"/>
        </w:rPr>
        <w:t>harvesting</w:t>
      </w:r>
      <w:r w:rsidRPr="008602FF">
        <w:rPr>
          <w:rFonts w:asciiTheme="majorHAnsi" w:hAnsiTheme="majorHAnsi"/>
          <w:sz w:val="24"/>
          <w:szCs w:val="24"/>
        </w:rPr>
        <w:t xml:space="preserve">, road and structure development, as well as </w:t>
      </w:r>
      <w:r w:rsidR="002A434C" w:rsidRPr="008602FF">
        <w:rPr>
          <w:rFonts w:asciiTheme="majorHAnsi" w:hAnsiTheme="majorHAnsi"/>
          <w:sz w:val="24"/>
          <w:szCs w:val="24"/>
        </w:rPr>
        <w:t>advertisement</w:t>
      </w:r>
      <w:r w:rsidR="00863DD9" w:rsidRPr="008602FF">
        <w:rPr>
          <w:rFonts w:asciiTheme="majorHAnsi" w:hAnsiTheme="majorHAnsi"/>
          <w:sz w:val="24"/>
          <w:szCs w:val="24"/>
        </w:rPr>
        <w:t xml:space="preserve"> and sign creation. Some </w:t>
      </w:r>
      <w:r w:rsidR="002A434C">
        <w:rPr>
          <w:rFonts w:asciiTheme="majorHAnsi" w:hAnsiTheme="majorHAnsi"/>
          <w:sz w:val="24"/>
          <w:szCs w:val="24"/>
        </w:rPr>
        <w:t xml:space="preserve">additional </w:t>
      </w:r>
      <w:r w:rsidR="00863DD9" w:rsidRPr="008602FF">
        <w:rPr>
          <w:rFonts w:asciiTheme="majorHAnsi" w:hAnsiTheme="majorHAnsi"/>
          <w:sz w:val="24"/>
          <w:szCs w:val="24"/>
        </w:rPr>
        <w:t xml:space="preserve">terms may be drafted into the easement so long as they are agreed upon by both the property </w:t>
      </w:r>
      <w:r w:rsidR="002A434C" w:rsidRPr="008602FF">
        <w:rPr>
          <w:rFonts w:asciiTheme="majorHAnsi" w:hAnsiTheme="majorHAnsi"/>
          <w:sz w:val="24"/>
          <w:szCs w:val="24"/>
        </w:rPr>
        <w:t>owner</w:t>
      </w:r>
      <w:r w:rsidR="00863DD9" w:rsidRPr="008602FF">
        <w:rPr>
          <w:rFonts w:asciiTheme="majorHAnsi" w:hAnsiTheme="majorHAnsi"/>
          <w:sz w:val="24"/>
          <w:szCs w:val="24"/>
        </w:rPr>
        <w:t xml:space="preserve"> and </w:t>
      </w:r>
      <w:r w:rsidR="002A434C" w:rsidRPr="008602FF">
        <w:rPr>
          <w:rFonts w:asciiTheme="majorHAnsi" w:hAnsiTheme="majorHAnsi"/>
          <w:sz w:val="24"/>
          <w:szCs w:val="24"/>
        </w:rPr>
        <w:t>representatives</w:t>
      </w:r>
      <w:r w:rsidR="00A03201">
        <w:rPr>
          <w:rFonts w:asciiTheme="majorHAnsi" w:hAnsiTheme="majorHAnsi"/>
          <w:sz w:val="24"/>
          <w:szCs w:val="24"/>
        </w:rPr>
        <w:t xml:space="preserve"> of </w:t>
      </w:r>
      <w:r w:rsidR="00A41918">
        <w:rPr>
          <w:rFonts w:asciiTheme="majorHAnsi" w:hAnsiTheme="majorHAnsi"/>
          <w:sz w:val="24"/>
          <w:szCs w:val="24"/>
        </w:rPr>
        <w:t xml:space="preserve">the </w:t>
      </w:r>
      <w:r w:rsidR="000945C0">
        <w:rPr>
          <w:rFonts w:asciiTheme="majorHAnsi" w:hAnsiTheme="majorHAnsi"/>
          <w:sz w:val="24"/>
          <w:szCs w:val="24"/>
        </w:rPr>
        <w:t>500-Year Forest Foundation</w:t>
      </w:r>
      <w:r w:rsidR="00A03201">
        <w:rPr>
          <w:rFonts w:asciiTheme="majorHAnsi" w:hAnsiTheme="majorHAnsi"/>
          <w:sz w:val="24"/>
          <w:szCs w:val="24"/>
        </w:rPr>
        <w:t>.</w:t>
      </w:r>
      <w:r w:rsidR="00A03201">
        <w:rPr>
          <w:sz w:val="24"/>
          <w:szCs w:val="24"/>
        </w:rPr>
        <w:t xml:space="preserve"> </w:t>
      </w:r>
      <w:r w:rsidR="00A03201" w:rsidRPr="00A03201">
        <w:rPr>
          <w:rFonts w:asciiTheme="majorHAnsi" w:hAnsiTheme="majorHAnsi"/>
          <w:sz w:val="24"/>
          <w:szCs w:val="24"/>
        </w:rPr>
        <w:t>Final a</w:t>
      </w:r>
      <w:r w:rsidR="00024B83" w:rsidRPr="00A03201">
        <w:rPr>
          <w:rFonts w:asciiTheme="majorHAnsi" w:hAnsiTheme="majorHAnsi"/>
          <w:sz w:val="24"/>
          <w:szCs w:val="24"/>
        </w:rPr>
        <w:t xml:space="preserve">pproval </w:t>
      </w:r>
      <w:r w:rsidR="00A03201" w:rsidRPr="00A03201">
        <w:rPr>
          <w:rFonts w:asciiTheme="majorHAnsi" w:hAnsiTheme="majorHAnsi"/>
          <w:sz w:val="24"/>
          <w:szCs w:val="24"/>
        </w:rPr>
        <w:t xml:space="preserve">of language is </w:t>
      </w:r>
      <w:r w:rsidR="00024B83" w:rsidRPr="00A03201">
        <w:rPr>
          <w:rFonts w:asciiTheme="majorHAnsi" w:hAnsiTheme="majorHAnsi"/>
          <w:sz w:val="24"/>
          <w:szCs w:val="24"/>
        </w:rPr>
        <w:t xml:space="preserve">given by </w:t>
      </w:r>
      <w:r w:rsidR="000945C0">
        <w:rPr>
          <w:rFonts w:asciiTheme="majorHAnsi" w:hAnsiTheme="majorHAnsi"/>
          <w:sz w:val="24"/>
          <w:szCs w:val="24"/>
        </w:rPr>
        <w:t>500-Year Forest Foundation</w:t>
      </w:r>
      <w:r w:rsidR="00024B83" w:rsidRPr="00A03201">
        <w:rPr>
          <w:rFonts w:asciiTheme="majorHAnsi" w:hAnsiTheme="majorHAnsi"/>
          <w:sz w:val="24"/>
          <w:szCs w:val="24"/>
        </w:rPr>
        <w:t xml:space="preserve"> Board of Directors.</w:t>
      </w:r>
    </w:p>
    <w:p w14:paraId="3C1CCE78" w14:textId="77777777" w:rsidR="003967FE" w:rsidRPr="00947605" w:rsidRDefault="003967FE" w:rsidP="00024B83">
      <w:pPr>
        <w:rPr>
          <w:sz w:val="24"/>
          <w:szCs w:val="24"/>
        </w:rPr>
      </w:pPr>
    </w:p>
    <w:p w14:paraId="36BD2506" w14:textId="3EE6B686" w:rsidR="00024B83" w:rsidRPr="003967FE" w:rsidRDefault="008A131A" w:rsidP="00A03201">
      <w:pPr>
        <w:pStyle w:val="Heading2"/>
      </w:pPr>
      <w:r w:rsidRPr="003967FE">
        <w:t xml:space="preserve">Step 13: </w:t>
      </w:r>
      <w:r w:rsidR="00024B83" w:rsidRPr="003967FE">
        <w:t xml:space="preserve">Conservation Easement Signing Day (forest </w:t>
      </w:r>
      <w:r w:rsidR="000945C0" w:rsidRPr="003967FE">
        <w:t>owner and the</w:t>
      </w:r>
      <w:r w:rsidR="00024B83" w:rsidRPr="003967FE">
        <w:t xml:space="preserve"> </w:t>
      </w:r>
      <w:r w:rsidR="000945C0" w:rsidRPr="003967FE">
        <w:t>500-Year Forest Foundation)</w:t>
      </w:r>
    </w:p>
    <w:p w14:paraId="6F32C21F" w14:textId="7C76C48C" w:rsidR="0076668A" w:rsidRPr="003967FE" w:rsidRDefault="00A03201" w:rsidP="00AC3607">
      <w:pPr>
        <w:rPr>
          <w:rFonts w:asciiTheme="majorHAnsi" w:hAnsiTheme="majorHAnsi"/>
          <w:sz w:val="32"/>
          <w:szCs w:val="22"/>
        </w:rPr>
      </w:pPr>
      <w:r w:rsidRPr="00A03201">
        <w:rPr>
          <w:rFonts w:asciiTheme="majorHAnsi" w:hAnsiTheme="majorHAnsi"/>
          <w:sz w:val="24"/>
        </w:rPr>
        <w:t xml:space="preserve">Balance of due diligence fees are paid by forest owner. Conservation easement &amp; baseline report </w:t>
      </w:r>
      <w:r>
        <w:rPr>
          <w:rFonts w:asciiTheme="majorHAnsi" w:hAnsiTheme="majorHAnsi"/>
          <w:sz w:val="24"/>
        </w:rPr>
        <w:t xml:space="preserve">are </w:t>
      </w:r>
      <w:r w:rsidRPr="00A03201">
        <w:rPr>
          <w:rFonts w:asciiTheme="majorHAnsi" w:hAnsiTheme="majorHAnsi"/>
          <w:sz w:val="24"/>
        </w:rPr>
        <w:t xml:space="preserve">signed by forest owner and </w:t>
      </w:r>
      <w:r w:rsidR="00A41918">
        <w:rPr>
          <w:rFonts w:asciiTheme="majorHAnsi" w:hAnsiTheme="majorHAnsi"/>
          <w:sz w:val="24"/>
        </w:rPr>
        <w:t>representatives of the</w:t>
      </w:r>
      <w:r w:rsidR="00E773BE">
        <w:rPr>
          <w:rFonts w:asciiTheme="majorHAnsi" w:hAnsiTheme="majorHAnsi"/>
          <w:sz w:val="24"/>
        </w:rPr>
        <w:t>500-Year Forest Foundation</w:t>
      </w:r>
      <w:r w:rsidRPr="00A03201">
        <w:rPr>
          <w:rFonts w:asciiTheme="majorHAnsi" w:hAnsiTheme="majorHAnsi"/>
          <w:sz w:val="24"/>
          <w:szCs w:val="24"/>
        </w:rPr>
        <w:t>. The</w:t>
      </w:r>
      <w:r w:rsidR="00E773BE">
        <w:rPr>
          <w:rFonts w:asciiTheme="majorHAnsi" w:hAnsiTheme="majorHAnsi"/>
          <w:sz w:val="24"/>
          <w:szCs w:val="24"/>
        </w:rPr>
        <w:t xml:space="preserve"> s</w:t>
      </w:r>
      <w:r w:rsidR="00024B83" w:rsidRPr="00A03201">
        <w:rPr>
          <w:rFonts w:asciiTheme="majorHAnsi" w:hAnsiTheme="majorHAnsi"/>
          <w:sz w:val="24"/>
          <w:szCs w:val="24"/>
        </w:rPr>
        <w:t xml:space="preserve">tewardship gift </w:t>
      </w:r>
      <w:r w:rsidRPr="00A03201">
        <w:rPr>
          <w:rFonts w:asciiTheme="majorHAnsi" w:hAnsiTheme="majorHAnsi"/>
          <w:sz w:val="24"/>
          <w:szCs w:val="24"/>
        </w:rPr>
        <w:t xml:space="preserve">is </w:t>
      </w:r>
      <w:r w:rsidR="00024B83" w:rsidRPr="00A03201">
        <w:rPr>
          <w:rFonts w:asciiTheme="majorHAnsi" w:hAnsiTheme="majorHAnsi"/>
          <w:sz w:val="24"/>
          <w:szCs w:val="24"/>
        </w:rPr>
        <w:t xml:space="preserve">given by forest owner </w:t>
      </w:r>
      <w:r w:rsidRPr="00A03201">
        <w:rPr>
          <w:rFonts w:asciiTheme="majorHAnsi" w:hAnsiTheme="majorHAnsi"/>
          <w:sz w:val="24"/>
          <w:szCs w:val="24"/>
        </w:rPr>
        <w:t xml:space="preserve">and in return a </w:t>
      </w:r>
      <w:r>
        <w:rPr>
          <w:rFonts w:asciiTheme="majorHAnsi" w:hAnsiTheme="majorHAnsi"/>
          <w:sz w:val="24"/>
          <w:szCs w:val="24"/>
        </w:rPr>
        <w:t>t</w:t>
      </w:r>
      <w:r w:rsidR="00024B83" w:rsidRPr="00A03201">
        <w:rPr>
          <w:rFonts w:asciiTheme="majorHAnsi" w:hAnsiTheme="majorHAnsi"/>
          <w:sz w:val="24"/>
          <w:szCs w:val="24"/>
        </w:rPr>
        <w:t xml:space="preserve">ax receipt letter </w:t>
      </w:r>
      <w:r>
        <w:rPr>
          <w:rFonts w:asciiTheme="majorHAnsi" w:hAnsiTheme="majorHAnsi"/>
          <w:sz w:val="24"/>
          <w:szCs w:val="24"/>
        </w:rPr>
        <w:t xml:space="preserve">is </w:t>
      </w:r>
      <w:r w:rsidR="00024B83" w:rsidRPr="00A03201">
        <w:rPr>
          <w:rFonts w:asciiTheme="majorHAnsi" w:hAnsiTheme="majorHAnsi"/>
          <w:sz w:val="24"/>
          <w:szCs w:val="24"/>
        </w:rPr>
        <w:t xml:space="preserve">given by </w:t>
      </w:r>
      <w:r w:rsidR="00E773BE">
        <w:rPr>
          <w:rFonts w:asciiTheme="majorHAnsi" w:hAnsiTheme="majorHAnsi"/>
          <w:sz w:val="24"/>
          <w:szCs w:val="24"/>
        </w:rPr>
        <w:t xml:space="preserve">the </w:t>
      </w:r>
      <w:r w:rsidR="00EA2A8E">
        <w:rPr>
          <w:rFonts w:asciiTheme="majorHAnsi" w:hAnsiTheme="majorHAnsi"/>
          <w:sz w:val="24"/>
          <w:szCs w:val="24"/>
        </w:rPr>
        <w:t>500-Year Forest Foundation.</w:t>
      </w:r>
    </w:p>
    <w:p w14:paraId="094E1CFF" w14:textId="31573256" w:rsidR="00AC3607" w:rsidRPr="00676CF0" w:rsidRDefault="00042545" w:rsidP="008602FF">
      <w:pPr>
        <w:pStyle w:val="Heading2"/>
        <w:rPr>
          <w:rFonts w:asciiTheme="majorHAnsi" w:hAnsiTheme="majorHAnsi"/>
          <w:b/>
          <w:bCs/>
          <w:szCs w:val="24"/>
        </w:rPr>
      </w:pPr>
      <w:r w:rsidRPr="00676CF0">
        <w:rPr>
          <w:rFonts w:asciiTheme="majorHAnsi" w:hAnsiTheme="majorHAnsi"/>
          <w:b/>
          <w:bCs/>
          <w:szCs w:val="24"/>
        </w:rPr>
        <w:t>Step 14</w:t>
      </w:r>
      <w:r w:rsidR="008602FF" w:rsidRPr="00676CF0">
        <w:rPr>
          <w:rFonts w:asciiTheme="majorHAnsi" w:hAnsiTheme="majorHAnsi"/>
          <w:b/>
          <w:bCs/>
          <w:szCs w:val="24"/>
        </w:rPr>
        <w:t xml:space="preserve">: </w:t>
      </w:r>
      <w:r w:rsidR="00AC3607" w:rsidRPr="00676CF0">
        <w:rPr>
          <w:rFonts w:asciiTheme="majorHAnsi" w:hAnsiTheme="majorHAnsi"/>
          <w:b/>
          <w:bCs/>
          <w:szCs w:val="24"/>
        </w:rPr>
        <w:t xml:space="preserve">The </w:t>
      </w:r>
      <w:r w:rsidR="008602FF" w:rsidRPr="00676CF0">
        <w:rPr>
          <w:rFonts w:asciiTheme="majorHAnsi" w:hAnsiTheme="majorHAnsi"/>
          <w:b/>
          <w:bCs/>
          <w:szCs w:val="24"/>
        </w:rPr>
        <w:t>D</w:t>
      </w:r>
      <w:r w:rsidR="00AC3607" w:rsidRPr="00676CF0">
        <w:rPr>
          <w:rFonts w:asciiTheme="majorHAnsi" w:hAnsiTheme="majorHAnsi"/>
          <w:b/>
          <w:bCs/>
          <w:szCs w:val="24"/>
        </w:rPr>
        <w:t xml:space="preserve">eed of </w:t>
      </w:r>
      <w:r w:rsidR="008602FF" w:rsidRPr="00676CF0">
        <w:rPr>
          <w:rFonts w:asciiTheme="majorHAnsi" w:hAnsiTheme="majorHAnsi"/>
          <w:b/>
          <w:bCs/>
          <w:szCs w:val="24"/>
        </w:rPr>
        <w:t>Easement is</w:t>
      </w:r>
      <w:r w:rsidR="00AC3607" w:rsidRPr="00676CF0">
        <w:rPr>
          <w:rFonts w:asciiTheme="majorHAnsi" w:hAnsiTheme="majorHAnsi"/>
          <w:b/>
          <w:bCs/>
          <w:szCs w:val="24"/>
        </w:rPr>
        <w:t xml:space="preserve"> recorded with </w:t>
      </w:r>
      <w:r w:rsidR="00604BAD" w:rsidRPr="00676CF0">
        <w:rPr>
          <w:rFonts w:asciiTheme="majorHAnsi" w:hAnsiTheme="majorHAnsi"/>
          <w:b/>
          <w:bCs/>
          <w:szCs w:val="24"/>
        </w:rPr>
        <w:t xml:space="preserve">the county </w:t>
      </w:r>
      <w:r w:rsidR="00863DD9" w:rsidRPr="00676CF0">
        <w:rPr>
          <w:rFonts w:asciiTheme="majorHAnsi" w:hAnsiTheme="majorHAnsi"/>
          <w:b/>
          <w:bCs/>
          <w:szCs w:val="24"/>
        </w:rPr>
        <w:t xml:space="preserve">courthouse </w:t>
      </w:r>
      <w:r w:rsidR="008A131A" w:rsidRPr="00676CF0">
        <w:rPr>
          <w:rFonts w:asciiTheme="majorHAnsi" w:hAnsiTheme="majorHAnsi"/>
          <w:b/>
          <w:bCs/>
          <w:szCs w:val="24"/>
        </w:rPr>
        <w:t xml:space="preserve">(by forest owner and their attorney) </w:t>
      </w:r>
    </w:p>
    <w:p w14:paraId="3FD6E0C9" w14:textId="77777777" w:rsidR="008A131A" w:rsidRPr="003967FE" w:rsidRDefault="008A131A" w:rsidP="008A131A">
      <w:pPr>
        <w:rPr>
          <w:sz w:val="18"/>
        </w:rPr>
      </w:pPr>
    </w:p>
    <w:p w14:paraId="14BB0E53" w14:textId="2CB05227" w:rsidR="00AC3607" w:rsidRPr="00676CF0" w:rsidRDefault="00042545" w:rsidP="00604BAD">
      <w:pPr>
        <w:pStyle w:val="Heading2"/>
        <w:rPr>
          <w:rFonts w:asciiTheme="majorHAnsi" w:hAnsiTheme="majorHAnsi"/>
          <w:b/>
          <w:bCs/>
          <w:szCs w:val="24"/>
        </w:rPr>
      </w:pPr>
      <w:r w:rsidRPr="00676CF0">
        <w:rPr>
          <w:rFonts w:asciiTheme="majorHAnsi" w:hAnsiTheme="majorHAnsi"/>
          <w:b/>
          <w:bCs/>
          <w:szCs w:val="24"/>
        </w:rPr>
        <w:t>Step 15</w:t>
      </w:r>
      <w:r w:rsidR="00604BAD" w:rsidRPr="00676CF0">
        <w:rPr>
          <w:rFonts w:asciiTheme="majorHAnsi" w:hAnsiTheme="majorHAnsi"/>
          <w:b/>
          <w:bCs/>
          <w:szCs w:val="24"/>
        </w:rPr>
        <w:t xml:space="preserve">: </w:t>
      </w:r>
      <w:r w:rsidR="008602FF" w:rsidRPr="00676CF0">
        <w:rPr>
          <w:rFonts w:asciiTheme="majorHAnsi" w:hAnsiTheme="majorHAnsi"/>
          <w:b/>
          <w:bCs/>
          <w:szCs w:val="24"/>
        </w:rPr>
        <w:t>Forest owner can then consult their</w:t>
      </w:r>
      <w:r w:rsidR="00AC3607" w:rsidRPr="00676CF0">
        <w:rPr>
          <w:rFonts w:asciiTheme="majorHAnsi" w:hAnsiTheme="majorHAnsi"/>
          <w:b/>
          <w:bCs/>
          <w:szCs w:val="24"/>
        </w:rPr>
        <w:t xml:space="preserve"> attorney or accountant to </w:t>
      </w:r>
      <w:r w:rsidR="008602FF" w:rsidRPr="00676CF0">
        <w:rPr>
          <w:rFonts w:asciiTheme="majorHAnsi" w:hAnsiTheme="majorHAnsi"/>
          <w:b/>
          <w:bCs/>
          <w:szCs w:val="24"/>
        </w:rPr>
        <w:t>apply for</w:t>
      </w:r>
      <w:r w:rsidR="00AC3607" w:rsidRPr="00676CF0">
        <w:rPr>
          <w:rFonts w:asciiTheme="majorHAnsi" w:hAnsiTheme="majorHAnsi"/>
          <w:b/>
          <w:bCs/>
          <w:szCs w:val="24"/>
        </w:rPr>
        <w:t xml:space="preserve"> tax </w:t>
      </w:r>
      <w:r w:rsidR="008602FF" w:rsidRPr="00676CF0">
        <w:rPr>
          <w:rFonts w:asciiTheme="majorHAnsi" w:hAnsiTheme="majorHAnsi"/>
          <w:b/>
          <w:bCs/>
          <w:szCs w:val="24"/>
        </w:rPr>
        <w:t>deductions</w:t>
      </w:r>
      <w:r w:rsidR="00AC3607" w:rsidRPr="00676CF0">
        <w:rPr>
          <w:rFonts w:asciiTheme="majorHAnsi" w:hAnsiTheme="majorHAnsi"/>
          <w:b/>
          <w:bCs/>
          <w:szCs w:val="24"/>
        </w:rPr>
        <w:t xml:space="preserve"> and credit</w:t>
      </w:r>
    </w:p>
    <w:p w14:paraId="189ADBAA" w14:textId="77777777" w:rsidR="00024B83" w:rsidRPr="003967FE" w:rsidRDefault="00024B83" w:rsidP="00024B83">
      <w:pPr>
        <w:rPr>
          <w:sz w:val="18"/>
        </w:rPr>
      </w:pPr>
    </w:p>
    <w:p w14:paraId="7DC8BA2A" w14:textId="6575AC69" w:rsidR="00024B83" w:rsidRPr="00676CF0" w:rsidRDefault="00042545" w:rsidP="00024B83">
      <w:pPr>
        <w:pStyle w:val="Heading2"/>
        <w:rPr>
          <w:rFonts w:asciiTheme="majorHAnsi" w:hAnsiTheme="majorHAnsi"/>
          <w:b/>
          <w:bCs/>
          <w:sz w:val="21"/>
        </w:rPr>
      </w:pPr>
      <w:r w:rsidRPr="00676CF0">
        <w:rPr>
          <w:rFonts w:asciiTheme="majorHAnsi" w:hAnsiTheme="majorHAnsi"/>
          <w:b/>
          <w:bCs/>
        </w:rPr>
        <w:t>Step</w:t>
      </w:r>
      <w:r w:rsidR="00E773BE" w:rsidRPr="00676CF0">
        <w:rPr>
          <w:rFonts w:asciiTheme="majorHAnsi" w:hAnsiTheme="majorHAnsi"/>
          <w:b/>
          <w:bCs/>
        </w:rPr>
        <w:t xml:space="preserve"> </w:t>
      </w:r>
      <w:r w:rsidRPr="00676CF0">
        <w:rPr>
          <w:rFonts w:asciiTheme="majorHAnsi" w:hAnsiTheme="majorHAnsi"/>
          <w:b/>
          <w:bCs/>
        </w:rPr>
        <w:t>16:</w:t>
      </w:r>
      <w:r w:rsidR="00024B83" w:rsidRPr="00676CF0">
        <w:rPr>
          <w:rFonts w:asciiTheme="majorHAnsi" w:hAnsiTheme="majorHAnsi"/>
          <w:b/>
          <w:bCs/>
        </w:rPr>
        <w:t xml:space="preserve"> Long Term Stewardship</w:t>
      </w:r>
      <w:r w:rsidR="00A41918" w:rsidRPr="00676CF0">
        <w:rPr>
          <w:rFonts w:asciiTheme="majorHAnsi" w:hAnsiTheme="majorHAnsi"/>
          <w:b/>
          <w:bCs/>
        </w:rPr>
        <w:t xml:space="preserve"> continues between the </w:t>
      </w:r>
      <w:r w:rsidR="00024B83" w:rsidRPr="00676CF0">
        <w:rPr>
          <w:rFonts w:asciiTheme="majorHAnsi" w:hAnsiTheme="majorHAnsi"/>
          <w:b/>
          <w:bCs/>
        </w:rPr>
        <w:t xml:space="preserve">forest owner and </w:t>
      </w:r>
      <w:r w:rsidR="00E773BE" w:rsidRPr="00676CF0">
        <w:rPr>
          <w:rFonts w:asciiTheme="majorHAnsi" w:hAnsiTheme="majorHAnsi"/>
          <w:b/>
          <w:bCs/>
        </w:rPr>
        <w:t>the 500-Year Forest Foundation</w:t>
      </w:r>
      <w:r w:rsidR="00024B83" w:rsidRPr="00676CF0">
        <w:rPr>
          <w:rFonts w:asciiTheme="majorHAnsi" w:hAnsiTheme="majorHAnsi"/>
          <w:b/>
          <w:bCs/>
        </w:rPr>
        <w:t xml:space="preserve"> </w:t>
      </w:r>
    </w:p>
    <w:p w14:paraId="672135A8" w14:textId="140FE596" w:rsidR="00AC3607" w:rsidRPr="00A41918" w:rsidRDefault="00A41918" w:rsidP="00AC3607">
      <w:pPr>
        <w:rPr>
          <w:rFonts w:asciiTheme="majorHAnsi" w:hAnsiTheme="majorHAnsi"/>
          <w:sz w:val="28"/>
          <w:szCs w:val="24"/>
        </w:rPr>
      </w:pPr>
      <w:r w:rsidRPr="00A41918">
        <w:rPr>
          <w:rFonts w:asciiTheme="majorHAnsi" w:hAnsiTheme="majorHAnsi"/>
          <w:sz w:val="24"/>
        </w:rPr>
        <w:t>Includes potential forest inventory and analysis by the 500-Year Forest Foundation</w:t>
      </w:r>
      <w:r>
        <w:rPr>
          <w:rFonts w:asciiTheme="majorHAnsi" w:hAnsiTheme="majorHAnsi"/>
          <w:sz w:val="24"/>
        </w:rPr>
        <w:t>.</w:t>
      </w:r>
    </w:p>
    <w:p w14:paraId="00144E05" w14:textId="77777777" w:rsidR="00AC3607" w:rsidRPr="008602FF" w:rsidRDefault="00AC3607" w:rsidP="00AC3607">
      <w:pPr>
        <w:rPr>
          <w:rFonts w:asciiTheme="majorHAnsi" w:hAnsiTheme="majorHAnsi"/>
          <w:sz w:val="24"/>
          <w:szCs w:val="24"/>
        </w:rPr>
      </w:pPr>
    </w:p>
    <w:p w14:paraId="2BBF8900" w14:textId="77777777" w:rsidR="00AC3607" w:rsidRPr="008602FF" w:rsidRDefault="00AC3607" w:rsidP="00AC3607">
      <w:pPr>
        <w:rPr>
          <w:rFonts w:asciiTheme="majorHAnsi" w:hAnsiTheme="majorHAnsi"/>
          <w:sz w:val="24"/>
          <w:szCs w:val="24"/>
        </w:rPr>
      </w:pPr>
    </w:p>
    <w:p w14:paraId="644CF8F5" w14:textId="147AF1C2" w:rsidR="00AC3607" w:rsidRPr="008602FF" w:rsidRDefault="00AC3607" w:rsidP="00604BAD">
      <w:pPr>
        <w:rPr>
          <w:rFonts w:asciiTheme="majorHAnsi" w:hAnsiTheme="majorHAnsi"/>
          <w:sz w:val="24"/>
          <w:szCs w:val="24"/>
        </w:rPr>
      </w:pPr>
    </w:p>
    <w:p w14:paraId="0EB831D2" w14:textId="77777777" w:rsidR="00603457" w:rsidRPr="008602FF" w:rsidRDefault="00603457">
      <w:pPr>
        <w:rPr>
          <w:rFonts w:asciiTheme="majorHAnsi" w:hAnsiTheme="majorHAnsi"/>
          <w:sz w:val="24"/>
          <w:szCs w:val="24"/>
        </w:rPr>
      </w:pPr>
    </w:p>
    <w:sectPr w:rsidR="00603457" w:rsidRPr="008602FF" w:rsidSect="002B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07"/>
    <w:rsid w:val="00004305"/>
    <w:rsid w:val="00024B83"/>
    <w:rsid w:val="00042545"/>
    <w:rsid w:val="00087EBC"/>
    <w:rsid w:val="000945C0"/>
    <w:rsid w:val="000B5711"/>
    <w:rsid w:val="000E1A4A"/>
    <w:rsid w:val="00110EA5"/>
    <w:rsid w:val="00196B1C"/>
    <w:rsid w:val="001B0CFA"/>
    <w:rsid w:val="00241FF1"/>
    <w:rsid w:val="00272D86"/>
    <w:rsid w:val="002A434C"/>
    <w:rsid w:val="002B3FCE"/>
    <w:rsid w:val="002B6D7B"/>
    <w:rsid w:val="002E7B0D"/>
    <w:rsid w:val="00376CB6"/>
    <w:rsid w:val="003967FE"/>
    <w:rsid w:val="00426EA2"/>
    <w:rsid w:val="00477D9A"/>
    <w:rsid w:val="00504169"/>
    <w:rsid w:val="00577B13"/>
    <w:rsid w:val="005B43AC"/>
    <w:rsid w:val="005D16CB"/>
    <w:rsid w:val="005D25D9"/>
    <w:rsid w:val="00603457"/>
    <w:rsid w:val="00604BAD"/>
    <w:rsid w:val="0067419A"/>
    <w:rsid w:val="00676CF0"/>
    <w:rsid w:val="0076668A"/>
    <w:rsid w:val="008602FF"/>
    <w:rsid w:val="00863DD9"/>
    <w:rsid w:val="008A131A"/>
    <w:rsid w:val="00934E6A"/>
    <w:rsid w:val="009A1DEA"/>
    <w:rsid w:val="00A03201"/>
    <w:rsid w:val="00A41918"/>
    <w:rsid w:val="00AC3607"/>
    <w:rsid w:val="00B2568C"/>
    <w:rsid w:val="00B7171E"/>
    <w:rsid w:val="00BD5915"/>
    <w:rsid w:val="00BF5DD7"/>
    <w:rsid w:val="00C111F4"/>
    <w:rsid w:val="00C16E1E"/>
    <w:rsid w:val="00C70BAD"/>
    <w:rsid w:val="00C74673"/>
    <w:rsid w:val="00D0481F"/>
    <w:rsid w:val="00D4189C"/>
    <w:rsid w:val="00DC6E07"/>
    <w:rsid w:val="00E773BE"/>
    <w:rsid w:val="00EA2A8E"/>
    <w:rsid w:val="00EB419C"/>
    <w:rsid w:val="00F6233D"/>
    <w:rsid w:val="00FB2F05"/>
    <w:rsid w:val="00FC14F5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B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B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B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B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B13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B1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B1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B1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B1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B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B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B13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B13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7B13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7B1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B1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B1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B1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B1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B1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B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B1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B13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B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B1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77B13"/>
    <w:rPr>
      <w:b/>
      <w:bCs/>
    </w:rPr>
  </w:style>
  <w:style w:type="character" w:styleId="Emphasis">
    <w:name w:val="Emphasis"/>
    <w:uiPriority w:val="20"/>
    <w:qFormat/>
    <w:rsid w:val="00577B13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77B1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7B1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B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B1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B1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B13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77B1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77B1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77B1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77B1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77B1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B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1BFF7-5F1C-D34F-AF75-8AF5834F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Step 1: Landowner with qualifying property approaches the 500-Year Forest Foun</vt:lpstr>
      <vt:lpstr>    Step 2: The 500-Year Forest Foundation confirms that the proposed property meets</vt:lpstr>
      <vt:lpstr>    Step 3: Forest owner engages advice of legal counsel independent of the 500-Year</vt:lpstr>
      <vt:lpstr>    Step 4: Forest is visited by representatives from The 500-Year Forest Foundation</vt:lpstr>
      <vt:lpstr>    Step 5: Mortgage Subordination is submitted by forest owner (if necessary)</vt:lpstr>
      <vt:lpstr>    Step 6: Property is surveyed by forest owner</vt:lpstr>
      <vt:lpstr>    Step 7: Timber on the property is appraised by a 3rd party </vt:lpstr>
      <vt:lpstr>    Step 8: A Baseline Documentation Report (BDR) is created by 3rd Party </vt:lpstr>
      <vt:lpstr>    Step 9: A forest survey is conducted by the 500-Year Forest Foundation </vt:lpstr>
      <vt:lpstr>    Step 10: Form 8283 is filled out and signed by landowner, then signed by apprais</vt:lpstr>
      <vt:lpstr>    Step 11: Property Title Report and Title Insurance are obtained by forest owner</vt:lpstr>
      <vt:lpstr>    Step 12: Overlaying conservation easement is drafted by the property owner (or a</vt:lpstr>
      <vt:lpstr>    Step 13: Conservation Easement Signing Day (forest owner and the 500-Year Forest</vt:lpstr>
      <vt:lpstr>    Step 14: The Deed of Easement is recorded with the county courthouse (by forest </vt:lpstr>
      <vt:lpstr>    Step 15: Forest owner can then consult their attorney or accountant to apply for</vt:lpstr>
      <vt:lpstr>    Step 16: Long Term Stewardship continues between the forest owner and the 500-Ye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Mary Elfner</cp:lastModifiedBy>
  <cp:revision>3</cp:revision>
  <dcterms:created xsi:type="dcterms:W3CDTF">2023-03-22T17:50:00Z</dcterms:created>
  <dcterms:modified xsi:type="dcterms:W3CDTF">2023-03-23T18:09:00Z</dcterms:modified>
</cp:coreProperties>
</file>